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8ABA3" w14:textId="77777777" w:rsidR="004D4824" w:rsidRDefault="004D4824" w:rsidP="004D4824">
      <w:pPr>
        <w:shd w:val="clear" w:color="auto" w:fill="FFFFFF"/>
        <w:spacing w:after="150" w:line="240" w:lineRule="auto"/>
        <w:jc w:val="center"/>
        <w:rPr>
          <w:rFonts w:ascii="Helvetica" w:eastAsia="Times New Roman" w:hAnsi="Helvetica" w:cs="Helvetica"/>
          <w:szCs w:val="24"/>
        </w:rPr>
      </w:pPr>
      <w:r>
        <w:rPr>
          <w:noProof/>
        </w:rPr>
        <w:drawing>
          <wp:inline distT="0" distB="0" distL="0" distR="0" wp14:anchorId="2E01FABA" wp14:editId="1CFC86EB">
            <wp:extent cx="4769994" cy="1143966"/>
            <wp:effectExtent l="0" t="0" r="0" b="0"/>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3613" cy="1154427"/>
                    </a:xfrm>
                    <a:prstGeom prst="rect">
                      <a:avLst/>
                    </a:prstGeom>
                    <a:noFill/>
                    <a:ln>
                      <a:noFill/>
                    </a:ln>
                  </pic:spPr>
                </pic:pic>
              </a:graphicData>
            </a:graphic>
          </wp:inline>
        </w:drawing>
      </w:r>
    </w:p>
    <w:p w14:paraId="3B1D4443" w14:textId="77777777" w:rsidR="004D4824" w:rsidRDefault="004D4824" w:rsidP="004D4824">
      <w:pPr>
        <w:shd w:val="clear" w:color="auto" w:fill="FFFFFF"/>
        <w:spacing w:after="150" w:line="240" w:lineRule="auto"/>
        <w:rPr>
          <w:rFonts w:ascii="Helvetica" w:eastAsia="Times New Roman" w:hAnsi="Helvetica" w:cs="Helvetica"/>
          <w:szCs w:val="24"/>
        </w:rPr>
      </w:pPr>
    </w:p>
    <w:p w14:paraId="6CD09315"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ADULT EDUCATION LICENSURE</w:t>
      </w:r>
    </w:p>
    <w:p w14:paraId="7D868DFC" w14:textId="77777777" w:rsidR="00BD0FEA" w:rsidRDefault="00BD0FEA" w:rsidP="004D4824">
      <w:pPr>
        <w:shd w:val="clear" w:color="auto" w:fill="FFFFFF"/>
        <w:spacing w:after="150" w:line="240" w:lineRule="auto"/>
        <w:rPr>
          <w:rFonts w:ascii="Lato" w:hAnsi="Lato"/>
          <w:color w:val="212529"/>
          <w:shd w:val="clear" w:color="auto" w:fill="FFFFFF"/>
        </w:rPr>
      </w:pPr>
      <w:r>
        <w:rPr>
          <w:rFonts w:ascii="Lato" w:hAnsi="Lato"/>
          <w:color w:val="212529"/>
          <w:shd w:val="clear" w:color="auto" w:fill="FFFFFF"/>
        </w:rPr>
        <w:t>While Adult Education Licensure is awarded by the State Department of Education, the Program of Study that satisfies the course requirements for Adult Education Licensure resides within the Department of Counseling, Leadership and Research Methods (CLRM), Program in Adult and Lifelong Learning (ADLL) at the University of Arkansas.</w:t>
      </w:r>
    </w:p>
    <w:p w14:paraId="6B93DE93" w14:textId="39D362EA"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Adult Education Licensure requires:</w:t>
      </w:r>
    </w:p>
    <w:p w14:paraId="22CE9674"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1) Successful completion of the designated program of study (outlined below), </w:t>
      </w:r>
      <w:r w:rsidRPr="004D4824">
        <w:rPr>
          <w:rFonts w:ascii="Helvetica" w:eastAsia="Times New Roman" w:hAnsi="Helvetica" w:cs="Helvetica"/>
          <w:b/>
          <w:bCs/>
          <w:szCs w:val="24"/>
        </w:rPr>
        <w:t>which must be completed before application for licensure is made</w:t>
      </w:r>
      <w:r w:rsidRPr="004D4824">
        <w:rPr>
          <w:rFonts w:ascii="Helvetica" w:eastAsia="Times New Roman" w:hAnsi="Helvetica" w:cs="Helvetica"/>
          <w:szCs w:val="24"/>
        </w:rPr>
        <w:t>, and</w:t>
      </w:r>
    </w:p>
    <w:p w14:paraId="6A6EAD17"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2) Application for licensure through the Arkansas Department of Education.</w:t>
      </w:r>
    </w:p>
    <w:p w14:paraId="32F33A1A"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Please Note:</w:t>
      </w:r>
    </w:p>
    <w:p w14:paraId="3808BCC1" w14:textId="77777777" w:rsidR="004D4824" w:rsidRPr="004D4824" w:rsidRDefault="004D4824" w:rsidP="004D4824">
      <w:pPr>
        <w:numPr>
          <w:ilvl w:val="0"/>
          <w:numId w:val="1"/>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Course requirements are subject to change.</w:t>
      </w:r>
    </w:p>
    <w:p w14:paraId="423E12A0" w14:textId="77777777" w:rsidR="004D4824" w:rsidRPr="004D4824" w:rsidRDefault="004D4824" w:rsidP="004D4824">
      <w:pPr>
        <w:numPr>
          <w:ilvl w:val="0"/>
          <w:numId w:val="1"/>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Applicants must meet </w:t>
      </w:r>
      <w:r w:rsidRPr="004D4824">
        <w:rPr>
          <w:rFonts w:ascii="Helvetica" w:eastAsia="Times New Roman" w:hAnsi="Helvetica" w:cs="Helvetica"/>
          <w:b/>
          <w:bCs/>
          <w:szCs w:val="24"/>
        </w:rPr>
        <w:t>current</w:t>
      </w:r>
      <w:r w:rsidRPr="004D4824">
        <w:rPr>
          <w:rFonts w:ascii="Helvetica" w:eastAsia="Times New Roman" w:hAnsi="Helvetica" w:cs="Helvetica"/>
          <w:szCs w:val="24"/>
        </w:rPr>
        <w:t> licensure requirements at time of application.</w:t>
      </w:r>
    </w:p>
    <w:p w14:paraId="625D6E26" w14:textId="77777777" w:rsidR="004D4824" w:rsidRPr="004D4824" w:rsidRDefault="004D4824" w:rsidP="004D4824">
      <w:pPr>
        <w:numPr>
          <w:ilvl w:val="0"/>
          <w:numId w:val="1"/>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Any coursework taken for licensure can be no more than 10 years old at the time of application.</w:t>
      </w:r>
    </w:p>
    <w:p w14:paraId="35578278" w14:textId="77777777" w:rsidR="004D4824" w:rsidRPr="004D4824" w:rsidRDefault="004D4824" w:rsidP="004D4824">
      <w:pPr>
        <w:numPr>
          <w:ilvl w:val="0"/>
          <w:numId w:val="1"/>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All courses required for licensure are offered </w:t>
      </w:r>
      <w:r w:rsidRPr="004D4824">
        <w:rPr>
          <w:rFonts w:ascii="Helvetica" w:eastAsia="Times New Roman" w:hAnsi="Helvetica" w:cs="Helvetica"/>
          <w:b/>
          <w:bCs/>
          <w:szCs w:val="24"/>
        </w:rPr>
        <w:t>online</w:t>
      </w:r>
      <w:r w:rsidRPr="004D4824">
        <w:rPr>
          <w:rFonts w:ascii="Helvetica" w:eastAsia="Times New Roman" w:hAnsi="Helvetica" w:cs="Helvetica"/>
          <w:szCs w:val="24"/>
        </w:rPr>
        <w:t>.</w:t>
      </w:r>
    </w:p>
    <w:p w14:paraId="79350730" w14:textId="77777777" w:rsidR="004D4824" w:rsidRPr="004D4824" w:rsidRDefault="004D4824" w:rsidP="004D4824">
      <w:pPr>
        <w:numPr>
          <w:ilvl w:val="0"/>
          <w:numId w:val="1"/>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 xml:space="preserve">In order to register for a licensure course at the U of A, students must apply to the U of </w:t>
      </w:r>
      <w:proofErr w:type="gramStart"/>
      <w:r w:rsidRPr="004D4824">
        <w:rPr>
          <w:rFonts w:ascii="Helvetica" w:eastAsia="Times New Roman" w:hAnsi="Helvetica" w:cs="Helvetica"/>
          <w:szCs w:val="24"/>
        </w:rPr>
        <w:t>A</w:t>
      </w:r>
      <w:proofErr w:type="gramEnd"/>
      <w:r w:rsidRPr="004D4824">
        <w:rPr>
          <w:rFonts w:ascii="Helvetica" w:eastAsia="Times New Roman" w:hAnsi="Helvetica" w:cs="Helvetica"/>
          <w:szCs w:val="24"/>
        </w:rPr>
        <w:t xml:space="preserve"> Graduate School for admission.</w:t>
      </w:r>
    </w:p>
    <w:p w14:paraId="0261B53A"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Individuals seeking Adult Education licensure fall under one of two plans:</w:t>
      </w:r>
    </w:p>
    <w:p w14:paraId="79721E0D"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Plan 1: Applicants employed by a state approved adult education program (Additional Licensure Plan-ALP) must complete </w:t>
      </w:r>
      <w:r w:rsidRPr="004D4824">
        <w:rPr>
          <w:rFonts w:ascii="Helvetica" w:eastAsia="Times New Roman" w:hAnsi="Helvetica" w:cs="Helvetica"/>
          <w:b/>
          <w:bCs/>
          <w:szCs w:val="24"/>
        </w:rPr>
        <w:t>15 credit hours</w:t>
      </w:r>
      <w:r w:rsidRPr="004D4824">
        <w:rPr>
          <w:rFonts w:ascii="Helvetica" w:eastAsia="Times New Roman" w:hAnsi="Helvetica" w:cs="Helvetica"/>
          <w:szCs w:val="24"/>
        </w:rPr>
        <w:t> of designated adult education coursework.</w:t>
      </w:r>
    </w:p>
    <w:p w14:paraId="29F7CA78"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 xml:space="preserve">Plan 2: Applicants who have not been employed by a state approved adult education program must complete </w:t>
      </w:r>
      <w:r w:rsidRPr="004D4824">
        <w:rPr>
          <w:rFonts w:ascii="Helvetica" w:eastAsia="Times New Roman" w:hAnsi="Helvetica" w:cs="Helvetica"/>
          <w:b/>
          <w:szCs w:val="24"/>
        </w:rPr>
        <w:t>15 credit hours of course work + 3 credit hours of internship</w:t>
      </w:r>
      <w:r w:rsidRPr="004D4824">
        <w:rPr>
          <w:rFonts w:ascii="Helvetica" w:eastAsia="Times New Roman" w:hAnsi="Helvetica" w:cs="Helvetica"/>
          <w:szCs w:val="24"/>
        </w:rPr>
        <w:t xml:space="preserve"> for a total of </w:t>
      </w:r>
      <w:r w:rsidRPr="004D4824">
        <w:rPr>
          <w:rFonts w:ascii="Helvetica" w:eastAsia="Times New Roman" w:hAnsi="Helvetica" w:cs="Helvetica"/>
          <w:b/>
          <w:szCs w:val="24"/>
        </w:rPr>
        <w:t>18 credit hours</w:t>
      </w:r>
      <w:r w:rsidRPr="004D4824">
        <w:rPr>
          <w:rFonts w:ascii="Helvetica" w:eastAsia="Times New Roman" w:hAnsi="Helvetica" w:cs="Helvetica"/>
          <w:szCs w:val="24"/>
        </w:rPr>
        <w:t>.</w:t>
      </w:r>
    </w:p>
    <w:p w14:paraId="221F1DCF" w14:textId="77777777" w:rsidR="004D4824" w:rsidRDefault="004D4824" w:rsidP="004D4824">
      <w:pPr>
        <w:shd w:val="clear" w:color="auto" w:fill="FFFFFF"/>
        <w:spacing w:after="150" w:line="240" w:lineRule="auto"/>
        <w:rPr>
          <w:rFonts w:ascii="Helvetica" w:eastAsia="Times New Roman" w:hAnsi="Helvetica" w:cs="Helvetica"/>
          <w:b/>
          <w:bCs/>
          <w:color w:val="800000"/>
          <w:szCs w:val="24"/>
        </w:rPr>
      </w:pPr>
    </w:p>
    <w:p w14:paraId="1EC75B3A" w14:textId="77777777" w:rsidR="004D4824" w:rsidRDefault="004D4824" w:rsidP="004D4824">
      <w:pPr>
        <w:shd w:val="clear" w:color="auto" w:fill="FFFFFF"/>
        <w:spacing w:after="150" w:line="240" w:lineRule="auto"/>
        <w:rPr>
          <w:rFonts w:ascii="Helvetica" w:eastAsia="Times New Roman" w:hAnsi="Helvetica" w:cs="Helvetica"/>
          <w:b/>
          <w:bCs/>
          <w:color w:val="800000"/>
          <w:szCs w:val="24"/>
        </w:rPr>
      </w:pPr>
    </w:p>
    <w:p w14:paraId="61038F6B" w14:textId="77777777" w:rsidR="004D4824" w:rsidRDefault="004D4824" w:rsidP="004D4824">
      <w:pPr>
        <w:shd w:val="clear" w:color="auto" w:fill="FFFFFF"/>
        <w:spacing w:after="150" w:line="240" w:lineRule="auto"/>
        <w:rPr>
          <w:rFonts w:ascii="Helvetica" w:eastAsia="Times New Roman" w:hAnsi="Helvetica" w:cs="Helvetica"/>
          <w:b/>
          <w:bCs/>
          <w:color w:val="800000"/>
          <w:szCs w:val="24"/>
        </w:rPr>
      </w:pPr>
    </w:p>
    <w:p w14:paraId="60A1E36C" w14:textId="77777777" w:rsidR="004D4824" w:rsidRDefault="004D4824" w:rsidP="004D4824">
      <w:pPr>
        <w:shd w:val="clear" w:color="auto" w:fill="FFFFFF"/>
        <w:spacing w:after="150" w:line="240" w:lineRule="auto"/>
        <w:rPr>
          <w:rFonts w:ascii="Helvetica" w:eastAsia="Times New Roman" w:hAnsi="Helvetica" w:cs="Helvetica"/>
          <w:b/>
          <w:bCs/>
          <w:color w:val="800000"/>
          <w:szCs w:val="24"/>
        </w:rPr>
      </w:pPr>
    </w:p>
    <w:p w14:paraId="0BC251D3" w14:textId="77777777" w:rsidR="00F76D21" w:rsidRDefault="00F76D21" w:rsidP="004D4824">
      <w:pPr>
        <w:shd w:val="clear" w:color="auto" w:fill="FFFFFF"/>
        <w:spacing w:after="150" w:line="240" w:lineRule="auto"/>
        <w:rPr>
          <w:rFonts w:ascii="Helvetica" w:eastAsia="Times New Roman" w:hAnsi="Helvetica" w:cs="Helvetica"/>
          <w:b/>
          <w:bCs/>
          <w:color w:val="800000"/>
          <w:szCs w:val="24"/>
        </w:rPr>
      </w:pPr>
    </w:p>
    <w:p w14:paraId="3D9E811F" w14:textId="5DBF3788" w:rsidR="004D4824" w:rsidRPr="004D4824" w:rsidRDefault="004D4824" w:rsidP="004D4824">
      <w:pPr>
        <w:shd w:val="clear" w:color="auto" w:fill="FFFFFF"/>
        <w:spacing w:after="150" w:line="240" w:lineRule="auto"/>
        <w:rPr>
          <w:rFonts w:ascii="Helvetica" w:eastAsia="Times New Roman" w:hAnsi="Helvetica" w:cs="Helvetica"/>
          <w:color w:val="5A5A5A"/>
          <w:szCs w:val="24"/>
        </w:rPr>
      </w:pPr>
      <w:r w:rsidRPr="004D4824">
        <w:rPr>
          <w:rFonts w:ascii="Helvetica" w:eastAsia="Times New Roman" w:hAnsi="Helvetica" w:cs="Helvetica"/>
          <w:b/>
          <w:bCs/>
          <w:color w:val="800000"/>
          <w:szCs w:val="24"/>
        </w:rPr>
        <w:lastRenderedPageBreak/>
        <w:t>Courses Required for Adult Education Licensure (15 Hours Required)</w:t>
      </w:r>
    </w:p>
    <w:p w14:paraId="04CC68C4" w14:textId="77777777" w:rsidR="004D4824" w:rsidRPr="004D4824" w:rsidRDefault="004D4824" w:rsidP="004D4824">
      <w:pPr>
        <w:numPr>
          <w:ilvl w:val="0"/>
          <w:numId w:val="2"/>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ADLL 5113 Perspectives in Adult Education (Fall)</w:t>
      </w:r>
    </w:p>
    <w:p w14:paraId="30DBED43" w14:textId="77777777" w:rsidR="004D4824" w:rsidRPr="004D4824" w:rsidRDefault="004D4824" w:rsidP="004D4824">
      <w:pPr>
        <w:numPr>
          <w:ilvl w:val="0"/>
          <w:numId w:val="2"/>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ADLL 5123 Principles &amp; Practices of Adult Learning (Fall)</w:t>
      </w:r>
    </w:p>
    <w:p w14:paraId="0029F6D0" w14:textId="77777777" w:rsidR="004D4824" w:rsidRPr="004D4824" w:rsidRDefault="004D4824" w:rsidP="004D4824">
      <w:pPr>
        <w:numPr>
          <w:ilvl w:val="0"/>
          <w:numId w:val="2"/>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ADLL 5133 Curriculum Development in ABE &amp; ASE (Spring)</w:t>
      </w:r>
    </w:p>
    <w:p w14:paraId="64EE4A60" w14:textId="77777777" w:rsidR="004D4824" w:rsidRPr="004D4824" w:rsidRDefault="004D4824" w:rsidP="004D4824">
      <w:pPr>
        <w:numPr>
          <w:ilvl w:val="0"/>
          <w:numId w:val="2"/>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ADLL 5143 Instructional Strategies &amp; Assessment in Adult Education (Summer)</w:t>
      </w:r>
    </w:p>
    <w:p w14:paraId="24A8234A" w14:textId="77777777" w:rsidR="004D4824" w:rsidRPr="004D4824" w:rsidRDefault="004D4824" w:rsidP="004D4824">
      <w:pPr>
        <w:numPr>
          <w:ilvl w:val="0"/>
          <w:numId w:val="2"/>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ADLL 5153 Organization &amp; Administration of ADLL Programs (Spring)</w:t>
      </w:r>
    </w:p>
    <w:p w14:paraId="615E8AA6"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b/>
          <w:bCs/>
          <w:szCs w:val="24"/>
        </w:rPr>
        <w:t>Applicants who have not been employed by a state approved adult education program are required to complete the ADLL Internship.</w:t>
      </w:r>
    </w:p>
    <w:p w14:paraId="02F9E810" w14:textId="77777777" w:rsidR="004D4824" w:rsidRPr="004D4824" w:rsidRDefault="004D4824" w:rsidP="004D4824">
      <w:pPr>
        <w:shd w:val="clear" w:color="auto" w:fill="FFFFFF"/>
        <w:spacing w:after="150" w:line="240" w:lineRule="auto"/>
        <w:rPr>
          <w:rFonts w:ascii="Helvetica" w:eastAsia="Times New Roman" w:hAnsi="Helvetica" w:cs="Helvetica"/>
          <w:color w:val="5A5A5A"/>
          <w:szCs w:val="24"/>
        </w:rPr>
      </w:pPr>
      <w:r w:rsidRPr="004D4824">
        <w:rPr>
          <w:rFonts w:ascii="Helvetica" w:eastAsia="Times New Roman" w:hAnsi="Helvetica" w:cs="Helvetica"/>
          <w:b/>
          <w:bCs/>
          <w:color w:val="800000"/>
          <w:szCs w:val="24"/>
        </w:rPr>
        <w:t>3 Hours Required</w:t>
      </w:r>
    </w:p>
    <w:p w14:paraId="4848548D" w14:textId="77777777" w:rsidR="004D4824" w:rsidRPr="004D4824" w:rsidRDefault="004D4824" w:rsidP="004D4824">
      <w:pPr>
        <w:numPr>
          <w:ilvl w:val="0"/>
          <w:numId w:val="3"/>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szCs w:val="24"/>
        </w:rPr>
        <w:t>ADLL 5213 Internship (Spring &amp; Fall)</w:t>
      </w:r>
    </w:p>
    <w:p w14:paraId="19E07B8C" w14:textId="77777777" w:rsidR="004D4824" w:rsidRPr="004D4824" w:rsidRDefault="004D4824" w:rsidP="004D4824">
      <w:pPr>
        <w:shd w:val="clear" w:color="auto" w:fill="FFFFFF"/>
        <w:spacing w:after="150" w:line="240" w:lineRule="auto"/>
        <w:rPr>
          <w:rFonts w:ascii="Helvetica" w:eastAsia="Times New Roman" w:hAnsi="Helvetica" w:cs="Helvetica"/>
          <w:color w:val="5A5A5A"/>
          <w:szCs w:val="24"/>
        </w:rPr>
      </w:pPr>
      <w:r w:rsidRPr="004D4824">
        <w:rPr>
          <w:rFonts w:ascii="Helvetica" w:eastAsia="Times New Roman" w:hAnsi="Helvetica" w:cs="Helvetica"/>
          <w:szCs w:val="24"/>
        </w:rPr>
        <w:t>*Students taking ADLL 5213 Adult and Lifelong Learning Internship should complete the required paperwork approximately </w:t>
      </w:r>
      <w:r w:rsidRPr="004D4824">
        <w:rPr>
          <w:rFonts w:ascii="Helvetica" w:eastAsia="Times New Roman" w:hAnsi="Helvetica" w:cs="Helvetica"/>
          <w:b/>
          <w:bCs/>
          <w:szCs w:val="24"/>
        </w:rPr>
        <w:t>three months</w:t>
      </w:r>
      <w:r w:rsidRPr="004D4824">
        <w:rPr>
          <w:rFonts w:ascii="Helvetica" w:eastAsia="Times New Roman" w:hAnsi="Helvetica" w:cs="Helvetica"/>
          <w:szCs w:val="24"/>
        </w:rPr>
        <w:t> in advance of the semester they will register for the course. A background check is required before students may register for the internship. For more information about the required background checks, please contact Myra Haulmark, Assistant Director of the Field Placement and Licensure Office of Academic Affairs, </w:t>
      </w:r>
      <w:r>
        <w:rPr>
          <w:rFonts w:ascii="Helvetica" w:eastAsia="Times New Roman" w:hAnsi="Helvetica" w:cs="Helvetica"/>
          <w:szCs w:val="24"/>
        </w:rPr>
        <w:t xml:space="preserve">at </w:t>
      </w:r>
      <w:hyperlink r:id="rId6" w:history="1">
        <w:r w:rsidRPr="004D4824">
          <w:rPr>
            <w:rFonts w:ascii="Helvetica" w:eastAsia="Times New Roman" w:hAnsi="Helvetica" w:cs="Helvetica"/>
            <w:color w:val="AA0000"/>
            <w:szCs w:val="24"/>
            <w:u w:val="single"/>
          </w:rPr>
          <w:t>haulmark@uark.edu</w:t>
        </w:r>
      </w:hyperlink>
      <w:r w:rsidRPr="004D4824">
        <w:rPr>
          <w:rFonts w:ascii="Helvetica" w:eastAsia="Times New Roman" w:hAnsi="Helvetica" w:cs="Helvetica"/>
          <w:color w:val="5A5A5A"/>
          <w:szCs w:val="24"/>
        </w:rPr>
        <w:t>.</w:t>
      </w:r>
    </w:p>
    <w:p w14:paraId="53F05791"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*None of the courses listed in the program of study require a prerequisite course.</w:t>
      </w:r>
    </w:p>
    <w:p w14:paraId="465C27DF"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Conditions:</w:t>
      </w:r>
    </w:p>
    <w:p w14:paraId="587279D1" w14:textId="77777777" w:rsidR="004D4824" w:rsidRPr="004D4824" w:rsidRDefault="004D4824" w:rsidP="004D4824">
      <w:pPr>
        <w:numPr>
          <w:ilvl w:val="0"/>
          <w:numId w:val="4"/>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b/>
          <w:bCs/>
          <w:szCs w:val="24"/>
        </w:rPr>
        <w:t>Grades</w:t>
      </w:r>
      <w:r w:rsidRPr="004D4824">
        <w:rPr>
          <w:rFonts w:ascii="Helvetica" w:eastAsia="Times New Roman" w:hAnsi="Helvetica" w:cs="Helvetica"/>
          <w:szCs w:val="24"/>
        </w:rPr>
        <w:t>: No grade below a B will be accepted for courses taken for licensure.</w:t>
      </w:r>
    </w:p>
    <w:p w14:paraId="3AB81EAB" w14:textId="77777777" w:rsidR="004D4824" w:rsidRPr="004D4824" w:rsidRDefault="004D4824" w:rsidP="004D4824">
      <w:pPr>
        <w:numPr>
          <w:ilvl w:val="0"/>
          <w:numId w:val="4"/>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b/>
          <w:bCs/>
          <w:szCs w:val="24"/>
        </w:rPr>
        <w:t>Transfer Courses</w:t>
      </w:r>
      <w:r w:rsidRPr="004D4824">
        <w:rPr>
          <w:rFonts w:ascii="Helvetica" w:eastAsia="Times New Roman" w:hAnsi="Helvetica" w:cs="Helvetica"/>
          <w:szCs w:val="24"/>
        </w:rPr>
        <w:t>: A maximum of 6 credit hours may be transferred in from another institution and counted toward licensure. Program faculty approval is required for each course. No grade below a B will be accepted for these courses. Courses must be no older than 10 years in order to be transferred in to the University of Arkansas.</w:t>
      </w:r>
    </w:p>
    <w:p w14:paraId="447D547F" w14:textId="77777777" w:rsidR="004D4824" w:rsidRPr="004D4824" w:rsidRDefault="004D4824" w:rsidP="004D4824">
      <w:pPr>
        <w:numPr>
          <w:ilvl w:val="0"/>
          <w:numId w:val="4"/>
        </w:numPr>
        <w:shd w:val="clear" w:color="auto" w:fill="FFFFFF"/>
        <w:spacing w:before="100" w:beforeAutospacing="1" w:after="100" w:afterAutospacing="1" w:line="240" w:lineRule="auto"/>
        <w:rPr>
          <w:rFonts w:ascii="Helvetica" w:eastAsia="Times New Roman" w:hAnsi="Helvetica" w:cs="Helvetica"/>
          <w:szCs w:val="24"/>
        </w:rPr>
      </w:pPr>
      <w:r w:rsidRPr="004D4824">
        <w:rPr>
          <w:rFonts w:ascii="Helvetica" w:eastAsia="Times New Roman" w:hAnsi="Helvetica" w:cs="Helvetica"/>
          <w:b/>
          <w:bCs/>
          <w:szCs w:val="24"/>
        </w:rPr>
        <w:t>Transition Date</w:t>
      </w:r>
      <w:r w:rsidRPr="004D4824">
        <w:rPr>
          <w:rFonts w:ascii="Helvetica" w:eastAsia="Times New Roman" w:hAnsi="Helvetica" w:cs="Helvetica"/>
          <w:szCs w:val="24"/>
        </w:rPr>
        <w:t>: Students who began taking courses for adult education licensure under the program of study in Workforce Development Education must have completed the required coursework and all application procedures by December 31, 2015. After this date, students will be required to follow the current program of study (outlined above) as approved by the Arkansas Department of Education.</w:t>
      </w:r>
    </w:p>
    <w:p w14:paraId="171F65D4" w14:textId="77777777" w:rsidR="004D4824" w:rsidRPr="004D4824" w:rsidRDefault="004D4824" w:rsidP="004D4824">
      <w:pPr>
        <w:shd w:val="clear" w:color="auto" w:fill="FFFFFF"/>
        <w:spacing w:after="150" w:line="240" w:lineRule="auto"/>
        <w:rPr>
          <w:rFonts w:ascii="Helvetica" w:eastAsia="Times New Roman" w:hAnsi="Helvetica" w:cs="Helvetica"/>
          <w:szCs w:val="24"/>
        </w:rPr>
      </w:pPr>
      <w:r w:rsidRPr="004D4824">
        <w:rPr>
          <w:rFonts w:ascii="Helvetica" w:eastAsia="Times New Roman" w:hAnsi="Helvetica" w:cs="Helvetica"/>
          <w:szCs w:val="24"/>
        </w:rPr>
        <w:t>Any questions regarding the application process should be directed to:</w:t>
      </w:r>
    </w:p>
    <w:p w14:paraId="2A9239C1" w14:textId="77777777" w:rsidR="003E33B9" w:rsidRPr="004D4824" w:rsidRDefault="004D4824" w:rsidP="004D4824">
      <w:pPr>
        <w:shd w:val="clear" w:color="auto" w:fill="FFFFFF"/>
        <w:spacing w:after="150" w:line="240" w:lineRule="auto"/>
        <w:rPr>
          <w:rFonts w:ascii="Helvetica" w:eastAsia="Times New Roman" w:hAnsi="Helvetica" w:cs="Helvetica"/>
          <w:color w:val="5A5A5A"/>
          <w:szCs w:val="24"/>
        </w:rPr>
      </w:pPr>
      <w:r w:rsidRPr="004D4824">
        <w:rPr>
          <w:rFonts w:ascii="Helvetica" w:eastAsia="Times New Roman" w:hAnsi="Helvetica" w:cs="Helvetica"/>
          <w:szCs w:val="24"/>
        </w:rPr>
        <w:t>Myra Haulmark, Director of Licensure</w:t>
      </w:r>
      <w:r w:rsidRPr="004D4824">
        <w:rPr>
          <w:rFonts w:ascii="Helvetica" w:eastAsia="Times New Roman" w:hAnsi="Helvetica" w:cs="Helvetica"/>
          <w:szCs w:val="24"/>
        </w:rPr>
        <w:br/>
        <w:t>Office of Academic Affairs</w:t>
      </w:r>
      <w:r w:rsidRPr="004D4824">
        <w:rPr>
          <w:rFonts w:ascii="Helvetica" w:eastAsia="Times New Roman" w:hAnsi="Helvetica" w:cs="Helvetica"/>
          <w:szCs w:val="24"/>
        </w:rPr>
        <w:br/>
        <w:t>338 Graduate Education Building</w:t>
      </w:r>
      <w:r w:rsidRPr="004D4824">
        <w:rPr>
          <w:rFonts w:ascii="Helvetica" w:eastAsia="Times New Roman" w:hAnsi="Helvetica" w:cs="Helvetica"/>
          <w:szCs w:val="24"/>
        </w:rPr>
        <w:br/>
        <w:t>University of Arkansas</w:t>
      </w:r>
      <w:r w:rsidRPr="004D4824">
        <w:rPr>
          <w:rFonts w:ascii="Helvetica" w:eastAsia="Times New Roman" w:hAnsi="Helvetica" w:cs="Helvetica"/>
          <w:szCs w:val="24"/>
        </w:rPr>
        <w:br/>
        <w:t>Fayetteville, AR 72701</w:t>
      </w:r>
      <w:r w:rsidRPr="004D4824">
        <w:rPr>
          <w:rFonts w:ascii="Helvetica" w:eastAsia="Times New Roman" w:hAnsi="Helvetica" w:cs="Helvetica"/>
          <w:szCs w:val="24"/>
        </w:rPr>
        <w:br/>
        <w:t>479-575-6740</w:t>
      </w:r>
      <w:r w:rsidRPr="004D4824">
        <w:rPr>
          <w:rFonts w:ascii="Helvetica" w:eastAsia="Times New Roman" w:hAnsi="Helvetica" w:cs="Helvetica"/>
          <w:szCs w:val="24"/>
        </w:rPr>
        <w:br/>
      </w:r>
      <w:hyperlink r:id="rId7" w:history="1">
        <w:r w:rsidRPr="004D4824">
          <w:rPr>
            <w:rFonts w:ascii="Helvetica" w:eastAsia="Times New Roman" w:hAnsi="Helvetica" w:cs="Helvetica"/>
            <w:color w:val="AA0000"/>
            <w:szCs w:val="24"/>
            <w:u w:val="single"/>
          </w:rPr>
          <w:t>haulmark@uark.edu</w:t>
        </w:r>
      </w:hyperlink>
    </w:p>
    <w:sectPr w:rsidR="00A30BF4" w:rsidRPr="004D4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D38BD"/>
    <w:multiLevelType w:val="multilevel"/>
    <w:tmpl w:val="C9AA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D2162"/>
    <w:multiLevelType w:val="multilevel"/>
    <w:tmpl w:val="CA82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FA0671"/>
    <w:multiLevelType w:val="multilevel"/>
    <w:tmpl w:val="775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A773EB"/>
    <w:multiLevelType w:val="multilevel"/>
    <w:tmpl w:val="B1A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419016">
    <w:abstractNumId w:val="2"/>
  </w:num>
  <w:num w:numId="2" w16cid:durableId="114102759">
    <w:abstractNumId w:val="1"/>
  </w:num>
  <w:num w:numId="3" w16cid:durableId="505171277">
    <w:abstractNumId w:val="3"/>
  </w:num>
  <w:num w:numId="4" w16cid:durableId="12682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24"/>
    <w:rsid w:val="002033F6"/>
    <w:rsid w:val="002D147D"/>
    <w:rsid w:val="003E33B9"/>
    <w:rsid w:val="004B1AC7"/>
    <w:rsid w:val="004D4824"/>
    <w:rsid w:val="009C3545"/>
    <w:rsid w:val="00BD0FEA"/>
    <w:rsid w:val="00CE1E09"/>
    <w:rsid w:val="00DC5AA4"/>
    <w:rsid w:val="00F7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ACC"/>
  <w15:chartTrackingRefBased/>
  <w15:docId w15:val="{33F286B9-20D7-4CA7-B427-FA83F85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824"/>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4D4824"/>
  </w:style>
  <w:style w:type="character" w:styleId="Strong">
    <w:name w:val="Strong"/>
    <w:basedOn w:val="DefaultParagraphFont"/>
    <w:uiPriority w:val="22"/>
    <w:qFormat/>
    <w:rsid w:val="004D4824"/>
    <w:rPr>
      <w:b/>
      <w:bCs/>
    </w:rPr>
  </w:style>
  <w:style w:type="character" w:styleId="Hyperlink">
    <w:name w:val="Hyperlink"/>
    <w:basedOn w:val="DefaultParagraphFont"/>
    <w:uiPriority w:val="99"/>
    <w:semiHidden/>
    <w:unhideWhenUsed/>
    <w:rsid w:val="004D4824"/>
    <w:rPr>
      <w:color w:val="0000FF"/>
      <w:u w:val="single"/>
    </w:rPr>
  </w:style>
  <w:style w:type="paragraph" w:styleId="BalloonText">
    <w:name w:val="Balloon Text"/>
    <w:basedOn w:val="Normal"/>
    <w:link w:val="BalloonTextChar"/>
    <w:uiPriority w:val="99"/>
    <w:semiHidden/>
    <w:unhideWhenUsed/>
    <w:rsid w:val="00203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9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ulmark@uark.edu?subject=Website%20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ulmark@uark.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Company>College of Education &amp; Health Professions</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 Shea Grover</dc:creator>
  <cp:keywords/>
  <dc:description/>
  <cp:lastModifiedBy>Kenda Shea Grover</cp:lastModifiedBy>
  <cp:revision>2</cp:revision>
  <cp:lastPrinted>2024-10-21T15:43:00Z</cp:lastPrinted>
  <dcterms:created xsi:type="dcterms:W3CDTF">2024-10-21T15:52:00Z</dcterms:created>
  <dcterms:modified xsi:type="dcterms:W3CDTF">2024-10-21T15:52:00Z</dcterms:modified>
</cp:coreProperties>
</file>